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54" w:rsidRPr="00435654" w:rsidRDefault="00435654" w:rsidP="0043565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35654" w:rsidRPr="00435654" w:rsidRDefault="00435654" w:rsidP="00435654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35654" w:rsidRPr="00435654" w:rsidRDefault="00435654" w:rsidP="00435654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35654" w:rsidRPr="00435654" w:rsidRDefault="00435654" w:rsidP="00435654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35654" w:rsidRPr="00435654" w:rsidRDefault="00311DB2" w:rsidP="00311DB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b/>
          <w:sz w:val="24"/>
          <w:szCs w:val="18"/>
        </w:rPr>
        <w:t>Controlled Substances</w:t>
      </w:r>
    </w:p>
    <w:p w:rsidR="00435654" w:rsidRPr="00435654" w:rsidRDefault="00311DB2" w:rsidP="0043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Student’s Name</w:t>
      </w:r>
    </w:p>
    <w:p w:rsidR="00435654" w:rsidRPr="00435654" w:rsidRDefault="00311DB2" w:rsidP="0043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bookmarkStart w:id="0" w:name="_GoBack"/>
      <w:bookmarkEnd w:id="0"/>
      <w:r w:rsidRPr="00435654">
        <w:rPr>
          <w:rFonts w:ascii="Times New Roman" w:eastAsia="Times New Roman" w:hAnsi="Times New Roman" w:cs="Times New Roman"/>
          <w:sz w:val="24"/>
          <w:szCs w:val="18"/>
        </w:rPr>
        <w:t>Institution Affiliation</w:t>
      </w:r>
    </w:p>
    <w:p w:rsidR="00435654" w:rsidRPr="00435654" w:rsidRDefault="00311DB2" w:rsidP="0043565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Course</w:t>
      </w:r>
    </w:p>
    <w:p w:rsidR="00435654" w:rsidRPr="00435654" w:rsidRDefault="00311DB2" w:rsidP="004356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Due Date</w:t>
      </w:r>
      <w:r w:rsidRPr="00435654">
        <w:rPr>
          <w:rFonts w:ascii="Times New Roman" w:eastAsia="Times New Roman" w:hAnsi="Times New Roman" w:cs="Times New Roman"/>
          <w:b/>
          <w:sz w:val="24"/>
          <w:szCs w:val="18"/>
        </w:rPr>
        <w:br w:type="page"/>
      </w:r>
    </w:p>
    <w:p w:rsidR="000F7080" w:rsidRPr="00435654" w:rsidRDefault="00311DB2" w:rsidP="0043565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b/>
          <w:sz w:val="24"/>
          <w:szCs w:val="18"/>
        </w:rPr>
        <w:lastRenderedPageBreak/>
        <w:t>Controlled Substances</w:t>
      </w:r>
    </w:p>
    <w:p w:rsidR="001D5176" w:rsidRPr="00435654" w:rsidRDefault="00311DB2" w:rsidP="004356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Drugs or </w:t>
      </w:r>
      <w:r w:rsidRPr="000F7080">
        <w:rPr>
          <w:rFonts w:ascii="Times New Roman" w:eastAsia="Times New Roman" w:hAnsi="Times New Roman" w:cs="Times New Roman"/>
          <w:sz w:val="24"/>
          <w:szCs w:val="18"/>
        </w:rPr>
        <w:t xml:space="preserve">substances subject to special control also called controlled drugs/substances, are those that act on the central nervous </w:t>
      </w:r>
      <w:r w:rsidRPr="000F7080">
        <w:rPr>
          <w:rFonts w:ascii="Times New Roman" w:eastAsia="Times New Roman" w:hAnsi="Times New Roman" w:cs="Times New Roman"/>
          <w:sz w:val="24"/>
          <w:szCs w:val="18"/>
        </w:rPr>
        <w:t>system and can cause physical or chemical dependence</w:t>
      </w:r>
      <w:r w:rsidR="0032376F" w:rsidRPr="00435654">
        <w:rPr>
          <w:rFonts w:ascii="Times New Roman" w:eastAsia="Times New Roman" w:hAnsi="Times New Roman" w:cs="Times New Roman"/>
          <w:sz w:val="24"/>
          <w:szCs w:val="18"/>
        </w:rPr>
        <w:t xml:space="preserve"> (Osborne, 2017)</w:t>
      </w:r>
      <w:r w:rsidRPr="000F7080">
        <w:rPr>
          <w:rFonts w:ascii="Times New Roman" w:eastAsia="Times New Roman" w:hAnsi="Times New Roman" w:cs="Times New Roman"/>
          <w:sz w:val="24"/>
          <w:szCs w:val="18"/>
        </w:rPr>
        <w:t>.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 The US</w:t>
      </w:r>
      <w:r w:rsidRPr="000F7080">
        <w:rPr>
          <w:rFonts w:ascii="Times New Roman" w:eastAsia="Times New Roman" w:hAnsi="Times New Roman" w:cs="Times New Roman"/>
          <w:sz w:val="24"/>
          <w:szCs w:val="18"/>
        </w:rPr>
        <w:t xml:space="preserve"> is a signatory of the International Conventions on Narcotic, Psychotropic, and Precursor Substances, of the United Nations - UN, and its regulatory activity is based on these inte</w:t>
      </w:r>
      <w:r w:rsidRPr="000F7080">
        <w:rPr>
          <w:rFonts w:ascii="Times New Roman" w:eastAsia="Times New Roman" w:hAnsi="Times New Roman" w:cs="Times New Roman"/>
          <w:sz w:val="24"/>
          <w:szCs w:val="18"/>
        </w:rPr>
        <w:t xml:space="preserve">rnational commitments. These Conventions provide for the measures that each signatory government must take to comply with the international controls required for such substances, especially in trade between countries. </w:t>
      </w:r>
    </w:p>
    <w:p w:rsidR="001D5176" w:rsidRPr="00435654" w:rsidRDefault="00311DB2" w:rsidP="004356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bCs/>
          <w:sz w:val="24"/>
          <w:szCs w:val="18"/>
        </w:rPr>
        <w:t>It is</w:t>
      </w:r>
      <w:r w:rsidRPr="00435654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</w:t>
      </w:r>
      <w:r w:rsidRPr="00435654">
        <w:rPr>
          <w:rFonts w:ascii="Times New Roman" w:eastAsia="Times New Roman" w:hAnsi="Times New Roman" w:cs="Times New Roman"/>
          <w:bCs/>
          <w:sz w:val="24"/>
          <w:szCs w:val="18"/>
        </w:rPr>
        <w:t xml:space="preserve">through the differentiation of </w:t>
      </w:r>
      <w:r w:rsidRPr="00435654">
        <w:rPr>
          <w:rFonts w:ascii="Times New Roman" w:eastAsia="Times New Roman" w:hAnsi="Times New Roman" w:cs="Times New Roman"/>
          <w:bCs/>
          <w:sz w:val="24"/>
          <w:szCs w:val="18"/>
        </w:rPr>
        <w:t>medical prescriptions that the prescription and adequate purchase of the medicine is controlled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. Thus, it is extremely important that all health professionals legally authorized to prescribe medication (doctors, veterinarians, and dentists), as well as pha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rmacists, know how to identify the correct type of role in which the prescription must be indicated. </w:t>
      </w:r>
    </w:p>
    <w:p w:rsidR="000F7080" w:rsidRPr="00435654" w:rsidRDefault="00311DB2" w:rsidP="004356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As a clinician, my primary role in prescribing the controlled substances will include 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correct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identification of the controlled substances 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and their role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before prescribing them to my patients. 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For instance, there are several types of prescription that I should be aware of, which include, </w:t>
      </w:r>
      <w:r w:rsidR="0032376F" w:rsidRPr="00435654">
        <w:rPr>
          <w:rFonts w:ascii="Times New Roman" w:eastAsia="Times New Roman" w:hAnsi="Times New Roman" w:cs="Times New Roman"/>
          <w:sz w:val="24"/>
          <w:szCs w:val="18"/>
        </w:rPr>
        <w:t>schedule III substance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prescription.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For prescription drugs for controlled use, such as antibiotics, 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>antiretroviral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, ana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bolic steroids, and some 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>immunosuppressant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, it is necessary to prescribe in two ways: one for the patient and another for the pharmacy</w:t>
      </w:r>
      <w:r w:rsidR="00435654" w:rsidRPr="00435654">
        <w:rPr>
          <w:rFonts w:ascii="Times New Roman" w:eastAsia="Times New Roman" w:hAnsi="Times New Roman" w:cs="Times New Roman"/>
          <w:sz w:val="24"/>
          <w:szCs w:val="18"/>
        </w:rPr>
        <w:t xml:space="preserve"> (Piper et al., 2020)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. The prescription, in this case, is usually valid for 30 days after its issuance and limits the amou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nt of medication for treatment during this period.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Another type of controlled substa</w:t>
      </w:r>
      <w:r w:rsidR="0032376F" w:rsidRPr="00435654">
        <w:rPr>
          <w:rFonts w:ascii="Times New Roman" w:eastAsia="Times New Roman" w:hAnsi="Times New Roman" w:cs="Times New Roman"/>
          <w:sz w:val="24"/>
          <w:szCs w:val="18"/>
        </w:rPr>
        <w:t>nce prescription is schedule II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prescription, which is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used in the prescription of psychotropic and anorectic psychotropic drugs. Each prescription can contain a prescripti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on for only one substance, with the amount needed for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lastRenderedPageBreak/>
        <w:t>treatment for 30 days - which is also the period of validity of the prescription.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Lastly, the other type of controlled substance prescription that I should be aware of is </w:t>
      </w:r>
      <w:r w:rsidR="0032376F" w:rsidRPr="00435654">
        <w:rPr>
          <w:rFonts w:ascii="Times New Roman" w:eastAsia="Times New Roman" w:hAnsi="Times New Roman" w:cs="Times New Roman"/>
          <w:sz w:val="24"/>
          <w:szCs w:val="18"/>
        </w:rPr>
        <w:t>Schedule I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prescription, which includes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extremely controlled medications, such as narcotics and some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psychotropic drugs. 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Each prescription can contain a prescription for only one substance, with the amount ne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>eded for treatment for 30 days,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 which is also the period of validity of the pre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scription.</w:t>
      </w:r>
      <w:r w:rsidR="001D5176" w:rsidRPr="00435654">
        <w:rPr>
          <w:rFonts w:ascii="Times New Roman" w:eastAsia="Times New Roman" w:hAnsi="Times New Roman" w:cs="Times New Roman"/>
          <w:sz w:val="24"/>
          <w:szCs w:val="18"/>
        </w:rPr>
        <w:t xml:space="preserve"> It is important to note that, while prescribing these drugs, the patient must produce the relevant prescription notification for analysis from relevant authorities.</w:t>
      </w:r>
    </w:p>
    <w:p w:rsidR="000F7080" w:rsidRPr="00435654" w:rsidRDefault="00311DB2" w:rsidP="004356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As a clinician, there is a possibility that a patient does not respond to the ma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 xml:space="preserve">ximum dosage of the controlled substances provided by the healthcare. In this case, as a clinician, I am </w:t>
      </w:r>
      <w:r w:rsidR="0032376F" w:rsidRPr="00435654">
        <w:rPr>
          <w:rFonts w:ascii="Times New Roman" w:eastAsia="Times New Roman" w:hAnsi="Times New Roman" w:cs="Times New Roman"/>
          <w:sz w:val="24"/>
          <w:szCs w:val="18"/>
        </w:rPr>
        <w:t xml:space="preserve">should re-examine the patient medical history and try to identify any medical explanation for that phenomenon. If identified, a clinician should seek the best alternative to the substances prescribed previously if any. </w:t>
      </w:r>
    </w:p>
    <w:p w:rsidR="0032376F" w:rsidRPr="00435654" w:rsidRDefault="0032376F" w:rsidP="0043565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p w:rsidR="0032376F" w:rsidRPr="00435654" w:rsidRDefault="00311DB2" w:rsidP="00435654">
      <w:pPr>
        <w:spacing w:line="48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br w:type="page"/>
      </w:r>
    </w:p>
    <w:p w:rsidR="0032376F" w:rsidRPr="00435654" w:rsidRDefault="00311DB2" w:rsidP="0043565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b/>
          <w:sz w:val="24"/>
          <w:szCs w:val="18"/>
        </w:rPr>
        <w:lastRenderedPageBreak/>
        <w:t>References</w:t>
      </w:r>
    </w:p>
    <w:p w:rsidR="00435654" w:rsidRPr="00435654" w:rsidRDefault="00311DB2" w:rsidP="0043565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Osborne, K. (2017). Regulation of controlled substance prescribing: an overview for certified nurse‐midwives and certified midwives. </w:t>
      </w:r>
      <w:r w:rsidRPr="00435654">
        <w:rPr>
          <w:rFonts w:ascii="Times New Roman" w:eastAsia="Times New Roman" w:hAnsi="Times New Roman" w:cs="Times New Roman"/>
          <w:i/>
          <w:iCs/>
          <w:sz w:val="24"/>
          <w:szCs w:val="18"/>
        </w:rPr>
        <w:t>Journal of midwifery &amp; women's health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, </w:t>
      </w:r>
      <w:r w:rsidRPr="00435654">
        <w:rPr>
          <w:rFonts w:ascii="Times New Roman" w:eastAsia="Times New Roman" w:hAnsi="Times New Roman" w:cs="Times New Roman"/>
          <w:i/>
          <w:iCs/>
          <w:sz w:val="24"/>
          <w:szCs w:val="18"/>
        </w:rPr>
        <w:t>62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(3), 341-347.</w:t>
      </w:r>
    </w:p>
    <w:p w:rsidR="00435654" w:rsidRPr="00435654" w:rsidRDefault="00311DB2" w:rsidP="0043565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435654">
        <w:rPr>
          <w:rFonts w:ascii="Times New Roman" w:eastAsia="Times New Roman" w:hAnsi="Times New Roman" w:cs="Times New Roman"/>
          <w:sz w:val="24"/>
          <w:szCs w:val="18"/>
        </w:rPr>
        <w:t>Piper, B. J., McCall, K. L., Kogan, L. R., &amp; Hellyer, P. W. (2020). Assessment of controlled substance distribution to US veterinary teaching institutions from 2006 to 2019. </w:t>
      </w:r>
      <w:r w:rsidRPr="00435654">
        <w:rPr>
          <w:rFonts w:ascii="Times New Roman" w:eastAsia="Times New Roman" w:hAnsi="Times New Roman" w:cs="Times New Roman"/>
          <w:i/>
          <w:iCs/>
          <w:sz w:val="24"/>
          <w:szCs w:val="18"/>
        </w:rPr>
        <w:t>Frontiers in Veterinary Science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, </w:t>
      </w:r>
      <w:r w:rsidRPr="00435654">
        <w:rPr>
          <w:rFonts w:ascii="Times New Roman" w:eastAsia="Times New Roman" w:hAnsi="Times New Roman" w:cs="Times New Roman"/>
          <w:i/>
          <w:iCs/>
          <w:sz w:val="24"/>
          <w:szCs w:val="18"/>
        </w:rPr>
        <w:t>7</w:t>
      </w:r>
      <w:r w:rsidRPr="00435654">
        <w:rPr>
          <w:rFonts w:ascii="Times New Roman" w:eastAsia="Times New Roman" w:hAnsi="Times New Roman" w:cs="Times New Roman"/>
          <w:sz w:val="24"/>
          <w:szCs w:val="18"/>
        </w:rPr>
        <w:t>, 1095.</w:t>
      </w:r>
    </w:p>
    <w:p w:rsidR="00435654" w:rsidRPr="00435654" w:rsidRDefault="0043565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sectPr w:rsidR="00435654" w:rsidRPr="004356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1DB2">
      <w:pPr>
        <w:spacing w:after="0" w:line="240" w:lineRule="auto"/>
      </w:pPr>
      <w:r>
        <w:separator/>
      </w:r>
    </w:p>
  </w:endnote>
  <w:endnote w:type="continuationSeparator" w:id="0">
    <w:p w:rsidR="00000000" w:rsidRDefault="0031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1DB2">
      <w:pPr>
        <w:spacing w:after="0" w:line="240" w:lineRule="auto"/>
      </w:pPr>
      <w:r>
        <w:separator/>
      </w:r>
    </w:p>
  </w:footnote>
  <w:footnote w:type="continuationSeparator" w:id="0">
    <w:p w:rsidR="00000000" w:rsidRDefault="0031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4"/>
      </w:rPr>
      <w:id w:val="-1894492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5654" w:rsidRPr="00435654" w:rsidRDefault="00311DB2">
        <w:pPr>
          <w:pStyle w:val="Header"/>
          <w:jc w:val="right"/>
          <w:rPr>
            <w:rFonts w:ascii="Times New Roman" w:hAnsi="Times New Roman" w:cs="Times New Roman"/>
            <w:b/>
            <w:sz w:val="24"/>
          </w:rPr>
        </w:pPr>
        <w:r w:rsidRPr="00435654">
          <w:rPr>
            <w:rFonts w:ascii="Times New Roman" w:hAnsi="Times New Roman" w:cs="Times New Roman"/>
            <w:b/>
            <w:sz w:val="24"/>
          </w:rPr>
          <w:fldChar w:fldCharType="begin"/>
        </w:r>
        <w:r w:rsidRPr="00435654">
          <w:rPr>
            <w:rFonts w:ascii="Times New Roman" w:hAnsi="Times New Roman" w:cs="Times New Roman"/>
            <w:b/>
            <w:sz w:val="24"/>
          </w:rPr>
          <w:instrText xml:space="preserve"> PAGE   \* MERGEFORMAT </w:instrText>
        </w:r>
        <w:r w:rsidRPr="00435654">
          <w:rPr>
            <w:rFonts w:ascii="Times New Roman" w:hAnsi="Times New Roman" w:cs="Times New Roman"/>
            <w:b/>
            <w:sz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</w:rPr>
          <w:t>2</w:t>
        </w:r>
        <w:r w:rsidRPr="00435654">
          <w:rPr>
            <w:rFonts w:ascii="Times New Roman" w:hAnsi="Times New Roman" w:cs="Times New Roman"/>
            <w:b/>
            <w:noProof/>
            <w:sz w:val="24"/>
          </w:rPr>
          <w:fldChar w:fldCharType="end"/>
        </w:r>
      </w:p>
    </w:sdtContent>
  </w:sdt>
  <w:p w:rsidR="00435654" w:rsidRDefault="00435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025E9"/>
    <w:multiLevelType w:val="multilevel"/>
    <w:tmpl w:val="218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AxMbYwMTOwMDVR0lEKTi0uzszPAykwrAUADNIQTiwAAAA="/>
  </w:docVars>
  <w:rsids>
    <w:rsidRoot w:val="000F7080"/>
    <w:rsid w:val="000F7080"/>
    <w:rsid w:val="001D5176"/>
    <w:rsid w:val="00311DB2"/>
    <w:rsid w:val="0032376F"/>
    <w:rsid w:val="00435654"/>
    <w:rsid w:val="00A961DF"/>
    <w:rsid w:val="00C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1D252-344F-4308-B187-0B1FBE21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70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54"/>
  </w:style>
  <w:style w:type="paragraph" w:styleId="Footer">
    <w:name w:val="footer"/>
    <w:basedOn w:val="Normal"/>
    <w:link w:val="FooterChar"/>
    <w:uiPriority w:val="99"/>
    <w:unhideWhenUsed/>
    <w:rsid w:val="0043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User</cp:lastModifiedBy>
  <cp:revision>2</cp:revision>
  <dcterms:created xsi:type="dcterms:W3CDTF">2021-06-11T04:47:00Z</dcterms:created>
  <dcterms:modified xsi:type="dcterms:W3CDTF">2021-06-11T04:47:00Z</dcterms:modified>
</cp:coreProperties>
</file>